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CE343C">
        <w:rPr>
          <w:rFonts w:ascii="Arial" w:hAnsi="Arial" w:cs="Arial"/>
          <w:b/>
          <w:sz w:val="32"/>
          <w:szCs w:val="32"/>
        </w:rPr>
        <w:t>, Lands</w:t>
      </w:r>
      <w:r w:rsidR="003315D4" w:rsidRPr="00C87C3E">
        <w:rPr>
          <w:rFonts w:ascii="Arial" w:hAnsi="Arial" w:cs="Arial"/>
          <w:b/>
          <w:sz w:val="32"/>
          <w:szCs w:val="32"/>
        </w:rPr>
        <w:t xml:space="preserve"> &amp; </w:t>
      </w:r>
      <w:r w:rsidR="00CE343C">
        <w:rPr>
          <w:rFonts w:ascii="Arial" w:hAnsi="Arial" w:cs="Arial"/>
          <w:b/>
          <w:sz w:val="32"/>
          <w:szCs w:val="32"/>
        </w:rPr>
        <w:t>Natural resource Operations</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F27810" w:rsidTr="009661C2">
        <w:trPr>
          <w:cantSplit/>
        </w:trPr>
        <w:tc>
          <w:tcPr>
            <w:tcW w:w="10008" w:type="dxa"/>
            <w:tcBorders>
              <w:top w:val="single" w:sz="12" w:space="0" w:color="auto"/>
              <w:bottom w:val="single" w:sz="6" w:space="0" w:color="auto"/>
            </w:tcBorders>
          </w:tcPr>
          <w:p w:rsidR="00F27810" w:rsidRDefault="00F27810">
            <w:pPr>
              <w:widowControl/>
              <w:autoSpaceDE w:val="0"/>
              <w:autoSpaceDN w:val="0"/>
              <w:adjustRightInd w:val="0"/>
              <w:rPr>
                <w:rFonts w:ascii="Arial" w:hAnsi="Arial" w:cs="Arial"/>
                <w:b/>
              </w:rPr>
            </w:pPr>
            <w:r>
              <w:rPr>
                <w:rFonts w:ascii="Arial" w:hAnsi="Arial" w:cs="Arial"/>
                <w:b/>
                <w:highlight w:val="lightGray"/>
              </w:rPr>
              <w:t>Investment Category:</w:t>
            </w:r>
            <w:r>
              <w:rPr>
                <w:rFonts w:ascii="Arial" w:hAnsi="Arial" w:cs="Arial"/>
                <w:b/>
              </w:rPr>
              <w:t xml:space="preserve"> Wildlife Inventory</w:t>
            </w:r>
          </w:p>
        </w:tc>
      </w:tr>
      <w:tr w:rsidR="00F27810" w:rsidTr="009661C2">
        <w:trPr>
          <w:cantSplit/>
        </w:trPr>
        <w:tc>
          <w:tcPr>
            <w:tcW w:w="10008" w:type="dxa"/>
            <w:tcBorders>
              <w:top w:val="single" w:sz="6" w:space="0" w:color="auto"/>
            </w:tcBorders>
          </w:tcPr>
          <w:p w:rsidR="00F27810" w:rsidRDefault="00F27810">
            <w:pPr>
              <w:widowControl/>
              <w:autoSpaceDE w:val="0"/>
              <w:autoSpaceDN w:val="0"/>
              <w:adjustRightInd w:val="0"/>
              <w:rPr>
                <w:rFonts w:ascii="Arial" w:hAnsi="Arial" w:cs="Arial"/>
                <w:b/>
              </w:rPr>
            </w:pPr>
            <w:r>
              <w:rPr>
                <w:rFonts w:ascii="Arial" w:hAnsi="Arial" w:cs="Arial"/>
                <w:b/>
                <w:highlight w:val="lightGray"/>
              </w:rPr>
              <w:t>Investment Category Contact:</w:t>
            </w:r>
            <w:r>
              <w:rPr>
                <w:rFonts w:ascii="Arial" w:hAnsi="Arial" w:cs="Arial"/>
                <w:b/>
              </w:rPr>
              <w:t xml:space="preserve"> Andy Witt</w:t>
            </w:r>
          </w:p>
        </w:tc>
      </w:tr>
      <w:tr w:rsidR="00F27810"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F27810" w:rsidRDefault="00F27810">
            <w:pPr>
              <w:autoSpaceDE w:val="0"/>
              <w:autoSpaceDN w:val="0"/>
              <w:adjustRightInd w:val="0"/>
              <w:rPr>
                <w:rFonts w:ascii="Arial" w:hAnsi="Arial" w:cs="Arial"/>
                <w:b/>
              </w:rPr>
            </w:pPr>
            <w:r>
              <w:rPr>
                <w:rFonts w:ascii="Arial" w:hAnsi="Arial" w:cs="Arial"/>
                <w:b/>
                <w:highlight w:val="lightGray"/>
              </w:rPr>
              <w:t xml:space="preserve">Amount Requested: </w:t>
            </w:r>
            <w:r>
              <w:rPr>
                <w:rFonts w:ascii="Arial" w:hAnsi="Arial" w:cs="Arial"/>
                <w:b/>
              </w:rPr>
              <w:t>3,150,000</w:t>
            </w:r>
          </w:p>
        </w:tc>
      </w:tr>
      <w:tr w:rsidR="00F27810"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F27810" w:rsidRDefault="00F27810">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F27810">
        <w:tblPrEx>
          <w:tblBorders>
            <w:insideH w:val="none" w:sz="0" w:space="0" w:color="auto"/>
            <w:insideV w:val="none" w:sz="0" w:space="0" w:color="auto"/>
          </w:tblBorders>
        </w:tblPrEx>
        <w:trPr>
          <w:cantSplit/>
        </w:trPr>
        <w:tc>
          <w:tcPr>
            <w:tcW w:w="10008" w:type="dxa"/>
          </w:tcPr>
          <w:p w:rsidR="00F27810" w:rsidRDefault="00F27810" w:rsidP="00F27810">
            <w:pPr>
              <w:widowControl/>
              <w:spacing w:after="120"/>
              <w:rPr>
                <w:rFonts w:ascii="Arial" w:hAnsi="Arial" w:cs="Arial"/>
                <w:b/>
                <w:u w:val="single"/>
              </w:rPr>
            </w:pPr>
            <w:r>
              <w:rPr>
                <w:rFonts w:ascii="Arial" w:hAnsi="Arial" w:cs="Arial"/>
                <w:b/>
                <w:u w:val="single"/>
              </w:rPr>
              <w:lastRenderedPageBreak/>
              <w:t>Business rationale (include benefit/cost impacts):</w:t>
            </w:r>
          </w:p>
          <w:p w:rsidR="00F27810" w:rsidRDefault="00F27810" w:rsidP="00F27810">
            <w:pPr>
              <w:pStyle w:val="ListParagraph"/>
              <w:numPr>
                <w:ilvl w:val="0"/>
                <w:numId w:val="30"/>
              </w:numPr>
              <w:spacing w:after="120"/>
              <w:rPr>
                <w:rFonts w:ascii="Arial" w:hAnsi="Arial" w:cs="Arial"/>
                <w:i/>
              </w:rPr>
            </w:pPr>
            <w:r>
              <w:rPr>
                <w:rFonts w:ascii="Arial" w:hAnsi="Arial" w:cs="Arial"/>
                <w:i/>
              </w:rPr>
              <w:t>Describe the issue being addressed including:</w:t>
            </w:r>
          </w:p>
          <w:p w:rsidR="00F27810" w:rsidRDefault="00F27810" w:rsidP="00F27810">
            <w:pPr>
              <w:widowControl/>
              <w:numPr>
                <w:ilvl w:val="0"/>
                <w:numId w:val="31"/>
              </w:numPr>
              <w:spacing w:after="120"/>
              <w:ind w:firstLine="1062"/>
              <w:rPr>
                <w:rFonts w:ascii="Arial" w:hAnsi="Arial" w:cs="Arial"/>
                <w:i/>
              </w:rPr>
            </w:pPr>
            <w:r>
              <w:rPr>
                <w:rFonts w:ascii="Arial" w:hAnsi="Arial" w:cs="Arial"/>
                <w:i/>
              </w:rPr>
              <w:t>the size and general area of impact within the province</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The Whole province</w:t>
            </w:r>
          </w:p>
          <w:p w:rsidR="00F27810" w:rsidRDefault="00F27810" w:rsidP="00F27810">
            <w:pPr>
              <w:widowControl/>
              <w:numPr>
                <w:ilvl w:val="0"/>
                <w:numId w:val="31"/>
              </w:numPr>
              <w:spacing w:after="120"/>
              <w:ind w:firstLine="1062"/>
              <w:rPr>
                <w:rFonts w:ascii="Arial" w:hAnsi="Arial" w:cs="Arial"/>
                <w:i/>
              </w:rPr>
            </w:pPr>
            <w:r>
              <w:rPr>
                <w:rFonts w:ascii="Arial" w:hAnsi="Arial" w:cs="Arial"/>
                <w:i/>
              </w:rPr>
              <w:t>How much total funding would be required to resolve the issue</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That will depend on the scope of wildlife inventory to be covered, and the timelines to fully implement GAR authorities: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WHAs: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It is estimated that complete the inventory and polygon delineation work for the current list of elements on the Category of Species at Risk it will take approximately $4,636,000.00. It is generally a three year process to complete this work for an individual species. Best case scenario to designate all remaining species will be 5 years. This works out to approximately $927,000.00 per year.</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UWRS: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It is estimated that complete the inventory and polygon delineation work for the remainder of UWR designations it will take approximately $930,000.00. It should take three years to complete all UWR designation. To do this will need 390 next year, 280K for the subsequent fiscal, and 260k for the third year.</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 xml:space="preserve">FSWs: </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It is estimated that it will take $1,665,032.00 to complete FSWs. At a 5 year to complete target this means$333,000.00 per year.</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SAR recovery plan inventory</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Work to associated with development of recovery plans for SAR that are not category species at risk but are necessary to meet the provinces federal obligations and commitments under the bi-lateral accord are estimated at $1,000,000.00 per year beyond the next five years.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Monitoring:</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Monitoring of designations will be an ongoing task for many years. It is estimated that will need $150,000 in the first year ramping up to $300,000.00 per year in 3 years.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Data Management:</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Management of the data associated with inventories and associated designations to ensure that data is available to resource sector planning and durable decisions is estimated at $500,000.00 per year on an ongoing basis.</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Other:</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The conservation framework has identified other species that will need to be added to the Category Species at Risk, and associated work to develop species accounts to inform results and strategies and habitat designation protocols will require an estimated $100,000 per year</w:t>
            </w:r>
          </w:p>
          <w:p w:rsidR="00F27810" w:rsidRDefault="00F27810" w:rsidP="00F27810">
            <w:pPr>
              <w:widowControl/>
              <w:spacing w:after="120"/>
              <w:rPr>
                <w:rFonts w:ascii="Arial" w:hAnsi="Arial" w:cs="Arial"/>
                <w:sz w:val="22"/>
                <w:szCs w:val="22"/>
                <w:lang w:val="en-CA"/>
              </w:rPr>
            </w:pPr>
            <w:r>
              <w:rPr>
                <w:rFonts w:ascii="Arial" w:hAnsi="Arial" w:cs="Arial"/>
                <w:sz w:val="22"/>
                <w:szCs w:val="22"/>
                <w:lang w:val="en-CA"/>
              </w:rPr>
              <w:t>TSS and WHF work will require $50,000 per year</w:t>
            </w:r>
          </w:p>
          <w:p w:rsidR="00F27810" w:rsidRDefault="00F27810" w:rsidP="00F27810">
            <w:pPr>
              <w:widowControl/>
              <w:spacing w:after="120"/>
              <w:rPr>
                <w:rFonts w:ascii="Arial" w:hAnsi="Arial" w:cs="Arial"/>
                <w:i/>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Pr="00DF1421" w:rsidRDefault="00DF1421" w:rsidP="00DF1421">
            <w:pPr>
              <w:widowControl/>
              <w:spacing w:after="180" w:line="276" w:lineRule="auto"/>
              <w:rPr>
                <w:rFonts w:ascii="Arial" w:eastAsiaTheme="minorHAnsi" w:hAnsi="Arial" w:cstheme="minorBidi"/>
                <w:i/>
                <w:szCs w:val="22"/>
                <w:lang w:val="en-CA"/>
              </w:rPr>
            </w:pPr>
          </w:p>
          <w:p w:rsidR="00366263" w:rsidRDefault="00366263" w:rsidP="009661C2">
            <w:pPr>
              <w:autoSpaceDE w:val="0"/>
              <w:autoSpaceDN w:val="0"/>
              <w:adjustRightInd w:val="0"/>
              <w:rPr>
                <w:rFonts w:ascii="Arial" w:hAnsi="Arial" w:cs="Arial"/>
                <w:b/>
                <w:highlight w:val="lightGray"/>
              </w:rPr>
            </w:pPr>
          </w:p>
        </w:tc>
      </w:tr>
      <w:tr w:rsidR="00F27810" w:rsidTr="00F27810">
        <w:tblPrEx>
          <w:tblBorders>
            <w:insideH w:val="none" w:sz="0" w:space="0" w:color="auto"/>
            <w:insideV w:val="none" w:sz="0" w:space="0" w:color="auto"/>
          </w:tblBorders>
        </w:tblPrEx>
        <w:trPr>
          <w:cantSplit/>
        </w:trPr>
        <w:tc>
          <w:tcPr>
            <w:tcW w:w="10008" w:type="dxa"/>
          </w:tcPr>
          <w:p w:rsidR="00F27810" w:rsidRDefault="00F27810" w:rsidP="00F27810">
            <w:pPr>
              <w:widowControl/>
              <w:spacing w:after="120"/>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94"/>
              <w:gridCol w:w="2394"/>
              <w:gridCol w:w="2394"/>
              <w:gridCol w:w="2394"/>
            </w:tblGrid>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Category</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Years to complete</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Yearly budget</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Total(5years)</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WHA</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5</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$927,000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$4,636,000.00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UWR</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$310,000</w:t>
                  </w:r>
                </w:p>
              </w:tc>
              <w:tc>
                <w:tcPr>
                  <w:tcW w:w="2394" w:type="dxa"/>
                  <w:tcBorders>
                    <w:top w:val="single" w:sz="4" w:space="0" w:color="auto"/>
                    <w:left w:val="single" w:sz="4" w:space="0" w:color="auto"/>
                    <w:bottom w:val="single" w:sz="4" w:space="0" w:color="auto"/>
                    <w:right w:val="single" w:sz="4" w:space="0" w:color="auto"/>
                  </w:tcBorders>
                  <w:hideMark/>
                </w:tcPr>
                <w:p w:rsidR="00F27810" w:rsidRDefault="00F27810" w:rsidP="00F27810">
                  <w:pPr>
                    <w:tabs>
                      <w:tab w:val="center" w:pos="4320"/>
                      <w:tab w:val="right" w:pos="8640"/>
                    </w:tabs>
                  </w:pPr>
                  <w:r w:rsidRPr="00F27810">
                    <w:rPr>
                      <w:rFonts w:ascii="Arial" w:hAnsi="Arial" w:cs="Arial"/>
                      <w:i/>
                    </w:rPr>
                    <w:t>$930,000.00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FSW</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5</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$333,000</w:t>
                  </w:r>
                </w:p>
              </w:tc>
              <w:tc>
                <w:tcPr>
                  <w:tcW w:w="2394" w:type="dxa"/>
                  <w:tcBorders>
                    <w:top w:val="single" w:sz="4" w:space="0" w:color="auto"/>
                    <w:left w:val="single" w:sz="4" w:space="0" w:color="auto"/>
                    <w:bottom w:val="single" w:sz="4" w:space="0" w:color="auto"/>
                    <w:right w:val="single" w:sz="4" w:space="0" w:color="auto"/>
                  </w:tcBorders>
                  <w:hideMark/>
                </w:tcPr>
                <w:p w:rsidR="00F27810" w:rsidRDefault="00F27810" w:rsidP="00F27810">
                  <w:pPr>
                    <w:tabs>
                      <w:tab w:val="center" w:pos="4320"/>
                      <w:tab w:val="right" w:pos="8640"/>
                    </w:tabs>
                  </w:pPr>
                  <w:r w:rsidRPr="00F27810">
                    <w:rPr>
                      <w:rFonts w:ascii="Arial" w:hAnsi="Arial" w:cs="Arial"/>
                      <w:i/>
                    </w:rPr>
                    <w:t xml:space="preserve">$1,665,000.00 </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SAR recovery</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ongoing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$1,000,000.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$5,000,000.00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Monitoring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ongoing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$260,000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$1,300,000.00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Data Management</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ongoing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$500,000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$2,500,000.00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Other</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ongoing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$150,000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$750,000.00</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Total</w:t>
                  </w:r>
                </w:p>
              </w:tc>
              <w:tc>
                <w:tcPr>
                  <w:tcW w:w="2394" w:type="dxa"/>
                  <w:tcBorders>
                    <w:top w:val="single" w:sz="4" w:space="0" w:color="auto"/>
                    <w:left w:val="single" w:sz="4" w:space="0" w:color="auto"/>
                    <w:bottom w:val="single" w:sz="4" w:space="0" w:color="auto"/>
                    <w:right w:val="single" w:sz="4" w:space="0" w:color="auto"/>
                  </w:tcBorders>
                </w:tcPr>
                <w:p w:rsidR="00F27810" w:rsidRPr="00F27810" w:rsidRDefault="00F27810" w:rsidP="00F27810">
                  <w:pPr>
                    <w:widowControl/>
                    <w:tabs>
                      <w:tab w:val="center" w:pos="4320"/>
                      <w:tab w:val="right" w:pos="8640"/>
                    </w:tabs>
                    <w:spacing w:after="120"/>
                    <w:rPr>
                      <w:rFonts w:ascii="Arial" w:hAnsi="Arial" w:cs="Arial"/>
                      <w:i/>
                    </w:rPr>
                  </w:pP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$3,150,000.00</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$16,750,000.00</w:t>
                  </w:r>
                </w:p>
              </w:tc>
            </w:tr>
          </w:tbl>
          <w:p w:rsidR="00F27810" w:rsidRDefault="00F27810" w:rsidP="00F27810">
            <w:pPr>
              <w:widowControl/>
              <w:spacing w:after="120"/>
              <w:rPr>
                <w:rFonts w:ascii="Arial" w:hAnsi="Arial" w:cs="Arial"/>
                <w:i/>
              </w:rPr>
            </w:pPr>
          </w:p>
          <w:p w:rsidR="00F27810" w:rsidRDefault="00F27810" w:rsidP="00F27810">
            <w:pPr>
              <w:widowControl/>
              <w:numPr>
                <w:ilvl w:val="0"/>
                <w:numId w:val="31"/>
              </w:numPr>
              <w:spacing w:after="120"/>
              <w:ind w:firstLine="1062"/>
              <w:rPr>
                <w:rFonts w:ascii="Arial" w:hAnsi="Arial" w:cs="Arial"/>
                <w:i/>
              </w:rPr>
            </w:pPr>
            <w:r>
              <w:rPr>
                <w:rFonts w:ascii="Arial" w:hAnsi="Arial" w:cs="Arial"/>
                <w:i/>
              </w:rPr>
              <w:t>How long it would take to resolve the issue at the proposed funding level</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There are currently no dedicated funds for these critical activities following the unilateral decision to eliminate this category. Previous funding levels had been declining annually. We currently estimate that we have only implemented 50% or WHAs, 70% of UWRs, and not even 5% of FSW since FRPA was brought into force while initial expectations are that we would have been finished by now. It is feasible to complete designation of WHAs (for the current list of IWMS species) and UWRs within 5 years. FSWs will take longer, but a new approach to use default objectives should expedite the process. It currently is not possible to give an accurate estimate for the completion of TSSs. However once designation of habitat authorities is complete resources (human and financial) will be refocused on conducting the required effectiveness monitoring critical to implementing the results based model. Monitoring will be an ongoing activity.</w:t>
            </w:r>
          </w:p>
          <w:p w:rsidR="00F27810" w:rsidRDefault="00F27810" w:rsidP="00F27810">
            <w:pPr>
              <w:pStyle w:val="ListParagraph"/>
              <w:spacing w:after="200" w:line="276" w:lineRule="auto"/>
              <w:ind w:left="360"/>
              <w:contextualSpacing/>
              <w:rPr>
                <w:rFonts w:ascii="Arial" w:hAnsi="Arial" w:cs="Arial"/>
              </w:rPr>
            </w:pPr>
          </w:p>
          <w:p w:rsidR="00F27810" w:rsidRDefault="00F27810" w:rsidP="00F27810">
            <w:pPr>
              <w:pStyle w:val="ListParagraph"/>
              <w:numPr>
                <w:ilvl w:val="0"/>
                <w:numId w:val="30"/>
              </w:numPr>
              <w:spacing w:after="120"/>
              <w:rPr>
                <w:rFonts w:ascii="Arial" w:hAnsi="Arial"/>
                <w:i/>
                <w:snapToGrid w:val="0"/>
                <w:sz w:val="20"/>
                <w:szCs w:val="20"/>
                <w:lang w:val="en-US"/>
              </w:rPr>
            </w:pPr>
            <w:r>
              <w:rPr>
                <w:rFonts w:ascii="Arial" w:hAnsi="Arial"/>
                <w:i/>
                <w:snapToGrid w:val="0"/>
                <w:sz w:val="20"/>
                <w:szCs w:val="20"/>
                <w:lang w:val="en-US"/>
              </w:rPr>
              <w:t xml:space="preserve">Provide a brief description of </w:t>
            </w:r>
          </w:p>
          <w:p w:rsidR="00F27810" w:rsidRDefault="00F27810" w:rsidP="00F27810">
            <w:pPr>
              <w:widowControl/>
              <w:numPr>
                <w:ilvl w:val="0"/>
                <w:numId w:val="29"/>
              </w:numPr>
              <w:spacing w:after="120" w:line="276" w:lineRule="auto"/>
              <w:ind w:right="720"/>
              <w:rPr>
                <w:rFonts w:ascii="Arial" w:hAnsi="Arial"/>
                <w:i/>
                <w:snapToGrid w:val="0"/>
              </w:rPr>
            </w:pPr>
            <w:r>
              <w:rPr>
                <w:rFonts w:ascii="Arial" w:hAnsi="Arial"/>
                <w:i/>
                <w:snapToGrid w:val="0"/>
              </w:rPr>
              <w:t>magnitude of the impact in addressing the Land Based Investment Strategy goals, objectives, and strategic priorities resulting from the investment</w:t>
            </w:r>
            <w:r>
              <w:rPr>
                <w:rFonts w:ascii="Arial" w:hAnsi="Arial"/>
                <w:i/>
                <w:snapToGrid w:val="0"/>
                <w:vertAlign w:val="superscript"/>
              </w:rPr>
              <w:footnoteReference w:id="1"/>
            </w:r>
            <w:r>
              <w:rPr>
                <w:rFonts w:ascii="Arial" w:hAnsi="Arial"/>
                <w:i/>
                <w:snapToGrid w:val="0"/>
              </w:rPr>
              <w:t xml:space="preserve">; </w:t>
            </w:r>
          </w:p>
          <w:p w:rsidR="00F27810" w:rsidRDefault="00F27810" w:rsidP="00F27810">
            <w:pPr>
              <w:widowControl/>
              <w:spacing w:after="120" w:line="276" w:lineRule="auto"/>
              <w:ind w:right="720"/>
              <w:rPr>
                <w:rFonts w:ascii="Arial" w:hAnsi="Arial" w:cs="Arial"/>
                <w:sz w:val="22"/>
                <w:szCs w:val="22"/>
                <w:lang w:val="en-CA"/>
              </w:rPr>
            </w:pPr>
            <w:r>
              <w:rPr>
                <w:rFonts w:ascii="Arial" w:hAnsi="Arial" w:cs="Arial"/>
                <w:sz w:val="22"/>
                <w:szCs w:val="22"/>
                <w:lang w:val="en-CA"/>
              </w:rPr>
              <w:t>This work is the main mechanism for the MFLNRO and Government to meet its stated objective around balancing economic and environmental stewardship</w:t>
            </w:r>
          </w:p>
          <w:p w:rsidR="00F27810" w:rsidRDefault="00F27810" w:rsidP="00F27810">
            <w:pPr>
              <w:widowControl/>
              <w:numPr>
                <w:ilvl w:val="0"/>
                <w:numId w:val="29"/>
              </w:numPr>
              <w:spacing w:after="120" w:line="276" w:lineRule="auto"/>
              <w:ind w:right="720"/>
              <w:rPr>
                <w:rFonts w:ascii="Arial" w:hAnsi="Arial"/>
                <w:i/>
                <w:snapToGrid w:val="0"/>
              </w:rPr>
            </w:pPr>
            <w:r>
              <w:rPr>
                <w:rFonts w:ascii="Arial" w:hAnsi="Arial"/>
                <w:i/>
                <w:snapToGrid w:val="0"/>
              </w:rPr>
              <w:t>multiple benefits that can be achieved from the investment</w:t>
            </w:r>
            <w:r>
              <w:rPr>
                <w:rFonts w:ascii="Arial" w:hAnsi="Arial"/>
                <w:i/>
                <w:snapToGrid w:val="0"/>
                <w:vertAlign w:val="superscript"/>
              </w:rPr>
              <w:footnoteReference w:id="2"/>
            </w:r>
            <w:r>
              <w:rPr>
                <w:rFonts w:ascii="Arial" w:hAnsi="Arial"/>
                <w:i/>
                <w:snapToGrid w:val="0"/>
              </w:rPr>
              <w:t>;</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 xml:space="preserve">These inventories are critical to putting in place the habitat authorities to ensure durable decisions in resource use. </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They are the main tool we have for meeting our obligations under SARA and the associated bilateral accord. This means meeting our federal and global responsibilities to SARA. T</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 xml:space="preserve">The protection afforded by GAR authorities that have been implemented to date has lead to the down listing of some species (it is anticipated that work to date on WHAs for Marbled </w:t>
            </w:r>
            <w:proofErr w:type="spellStart"/>
            <w:r>
              <w:rPr>
                <w:rFonts w:ascii="Arial" w:hAnsi="Arial" w:cs="Arial"/>
              </w:rPr>
              <w:t>Murrelet</w:t>
            </w:r>
            <w:proofErr w:type="spellEnd"/>
            <w:r>
              <w:rPr>
                <w:rFonts w:ascii="Arial" w:hAnsi="Arial" w:cs="Arial"/>
              </w:rPr>
              <w:t xml:space="preserve"> will result in </w:t>
            </w:r>
            <w:proofErr w:type="gramStart"/>
            <w:r>
              <w:rPr>
                <w:rFonts w:ascii="Arial" w:hAnsi="Arial" w:cs="Arial"/>
              </w:rPr>
              <w:t>it’s</w:t>
            </w:r>
            <w:proofErr w:type="gramEnd"/>
            <w:r>
              <w:rPr>
                <w:rFonts w:ascii="Arial" w:hAnsi="Arial" w:cs="Arial"/>
              </w:rPr>
              <w:t xml:space="preserve"> down listing). It is a provincial goal to take actions to remove species from lists. GAR implementation is a key mechanism to meeting that goal. </w:t>
            </w:r>
          </w:p>
          <w:p w:rsidR="00F27810" w:rsidRDefault="00F27810" w:rsidP="00F27810">
            <w:pPr>
              <w:widowControl/>
              <w:spacing w:after="120"/>
              <w:rPr>
                <w:rFonts w:ascii="Arial" w:hAnsi="Arial" w:cs="Arial"/>
                <w:b/>
                <w:u w:val="single"/>
              </w:rPr>
            </w:pPr>
          </w:p>
        </w:tc>
      </w:tr>
      <w:tr w:rsidR="00F27810" w:rsidTr="00F27810">
        <w:tblPrEx>
          <w:tblBorders>
            <w:insideH w:val="none" w:sz="0" w:space="0" w:color="auto"/>
            <w:insideV w:val="none" w:sz="0" w:space="0" w:color="auto"/>
          </w:tblBorders>
        </w:tblPrEx>
        <w:trPr>
          <w:cantSplit/>
        </w:trPr>
        <w:tc>
          <w:tcPr>
            <w:tcW w:w="10008" w:type="dxa"/>
          </w:tcPr>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lastRenderedPageBreak/>
              <w:t xml:space="preserve">The habitat designations now apply not just to forestry but to Oil and Gas, and other actives on the landscape including mineral exploration. </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 xml:space="preserve">They are </w:t>
            </w:r>
            <w:proofErr w:type="gramStart"/>
            <w:r>
              <w:rPr>
                <w:rFonts w:ascii="Arial" w:hAnsi="Arial" w:cs="Arial"/>
              </w:rPr>
              <w:t>key</w:t>
            </w:r>
            <w:proofErr w:type="gramEnd"/>
            <w:r>
              <w:rPr>
                <w:rFonts w:ascii="Arial" w:hAnsi="Arial" w:cs="Arial"/>
              </w:rPr>
              <w:t xml:space="preserve"> in maintaining provincial social license, allowing maximisation of market availability to provincial industries. </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 xml:space="preserve">They are the key mechanism to satisfy the ministry goal of environmental sustainability. </w:t>
            </w:r>
          </w:p>
          <w:p w:rsidR="00F27810" w:rsidRDefault="00F27810" w:rsidP="00F27810">
            <w:pPr>
              <w:pStyle w:val="ListParagraph"/>
              <w:numPr>
                <w:ilvl w:val="0"/>
                <w:numId w:val="32"/>
              </w:numPr>
              <w:spacing w:after="200" w:line="276" w:lineRule="auto"/>
              <w:contextualSpacing/>
              <w:rPr>
                <w:rFonts w:ascii="Arial" w:hAnsi="Arial" w:cs="Arial"/>
              </w:rPr>
            </w:pPr>
            <w:r>
              <w:rPr>
                <w:rFonts w:ascii="Arial" w:hAnsi="Arial" w:cs="Arial"/>
              </w:rPr>
              <w:t xml:space="preserve">The recent Species at Risk Task Force has identified that we are not doing enough to protect the habitat of species at risk. The Task Force also identified that we do not need new SAR legislation as we have existing legislation and regulation. We need therefore to implement our existing Regulations, and for SAR habitat FRPA and OGAA are the provinces main regulatory tools. </w:t>
            </w:r>
          </w:p>
          <w:p w:rsidR="00F27810" w:rsidRDefault="00F27810" w:rsidP="00F27810">
            <w:pPr>
              <w:pStyle w:val="ListParagraph"/>
              <w:numPr>
                <w:ilvl w:val="0"/>
                <w:numId w:val="32"/>
              </w:numPr>
              <w:rPr>
                <w:rFonts w:ascii="Arial" w:hAnsi="Arial" w:cs="Arial"/>
              </w:rPr>
            </w:pPr>
            <w:r>
              <w:rPr>
                <w:rFonts w:ascii="Arial" w:hAnsi="Arial" w:cs="Arial"/>
              </w:rPr>
              <w:t>WHAs are the only operational level tool available to government to protect habitat for SAR in response to federal SARA requirements of “effective protection” of critical habitat on Crown Land.  WHAs balance habitat protection with social and economic considerations. The Federal Government is increasing federal declarations of Critical Habitat in BC (anticipated for up to 37 SARA listed species in BC this fiscal) in response to recent court actions and agency directives.</w:t>
            </w:r>
          </w:p>
          <w:p w:rsidR="00F27810" w:rsidRDefault="00F27810" w:rsidP="00F27810">
            <w:pPr>
              <w:pStyle w:val="ListParagraph"/>
              <w:numPr>
                <w:ilvl w:val="0"/>
                <w:numId w:val="32"/>
              </w:numPr>
              <w:rPr>
                <w:rFonts w:ascii="Arial" w:hAnsi="Arial" w:cs="Arial"/>
              </w:rPr>
            </w:pPr>
            <w:r>
              <w:rPr>
                <w:rFonts w:ascii="Arial" w:hAnsi="Arial" w:cs="Arial"/>
              </w:rPr>
              <w:t>In the absence of provincial habitat protection, the federal government is compelled by law to invoke the SARA “safety net”, which imposes habitat protection with no consideration of social or economic implications to the province. This puts the province and industry in a highly vulnerable position.</w:t>
            </w:r>
          </w:p>
          <w:p w:rsidR="00F27810" w:rsidRDefault="00F27810" w:rsidP="00F27810">
            <w:pPr>
              <w:numPr>
                <w:ilvl w:val="0"/>
                <w:numId w:val="32"/>
              </w:numPr>
              <w:rPr>
                <w:rFonts w:ascii="Arial" w:hAnsi="Arial" w:cs="Arial"/>
                <w:sz w:val="22"/>
                <w:szCs w:val="22"/>
                <w:lang w:val="en-CA"/>
              </w:rPr>
            </w:pPr>
            <w:r>
              <w:rPr>
                <w:rFonts w:ascii="Arial" w:hAnsi="Arial" w:cs="Arial"/>
                <w:sz w:val="22"/>
                <w:szCs w:val="22"/>
                <w:lang w:val="en-CA"/>
              </w:rPr>
              <w:t>Industry relies on WHA designations and monitoring to achieve eco-certification and to maintaining their social license.</w:t>
            </w:r>
          </w:p>
          <w:p w:rsidR="00F27810" w:rsidRDefault="00F27810" w:rsidP="00F27810">
            <w:pPr>
              <w:pStyle w:val="ListParagraph"/>
              <w:numPr>
                <w:ilvl w:val="0"/>
                <w:numId w:val="32"/>
              </w:numPr>
              <w:rPr>
                <w:rFonts w:ascii="Arial" w:hAnsi="Arial" w:cs="Arial"/>
              </w:rPr>
            </w:pPr>
            <w:r>
              <w:rPr>
                <w:rFonts w:ascii="Arial" w:hAnsi="Arial" w:cs="Arial"/>
              </w:rPr>
              <w:t xml:space="preserve">The only other mechanism we have for protecting SAR habitat on Crown Land are parks and protected areas, which require Cabinet level decision making and alienation of all industrial activity across multiple sectors. </w:t>
            </w:r>
          </w:p>
          <w:p w:rsidR="00F27810" w:rsidRDefault="00F27810" w:rsidP="00F27810">
            <w:pPr>
              <w:pStyle w:val="ListParagraph"/>
              <w:numPr>
                <w:ilvl w:val="0"/>
                <w:numId w:val="32"/>
              </w:numPr>
              <w:rPr>
                <w:rFonts w:ascii="Arial" w:hAnsi="Arial" w:cs="Arial"/>
              </w:rPr>
            </w:pPr>
            <w:r>
              <w:rPr>
                <w:rFonts w:ascii="Arial" w:hAnsi="Arial" w:cs="Arial"/>
              </w:rPr>
              <w:t xml:space="preserve">Without funding the only work that can be conducted will be those species that we have in house expertise and limited base travel dollars to support. This means that eventually all that will be left are those species that we will need to spend significant funds on. Work to date has been </w:t>
            </w:r>
            <w:proofErr w:type="gramStart"/>
            <w:r>
              <w:rPr>
                <w:rFonts w:ascii="Arial" w:hAnsi="Arial" w:cs="Arial"/>
              </w:rPr>
              <w:t>skewed  to</w:t>
            </w:r>
            <w:proofErr w:type="gramEnd"/>
            <w:r>
              <w:rPr>
                <w:rFonts w:ascii="Arial" w:hAnsi="Arial" w:cs="Arial"/>
              </w:rPr>
              <w:t xml:space="preserve"> the ‘low hanging fruit” leaving more difficult work to the future. </w:t>
            </w:r>
          </w:p>
          <w:p w:rsidR="00F27810" w:rsidRDefault="00F27810" w:rsidP="00F27810">
            <w:pPr>
              <w:pStyle w:val="ListParagraph"/>
              <w:numPr>
                <w:ilvl w:val="0"/>
                <w:numId w:val="32"/>
              </w:numPr>
            </w:pPr>
            <w:r>
              <w:rPr>
                <w:rFonts w:ascii="Arial" w:hAnsi="Arial" w:cs="Arial"/>
              </w:rPr>
              <w:t>On the SAR file efforts are focussed on species at risk that are affected by forest and range practices and that are also high priorities for action under the Conservation Framework. Species inventory has been a major focus of work as research has shown that new inventory information is an effective way to remove species from conservation lists.  This includes field inventory, like nest surveys, that may lead to WHA establishment, and the development and ground-</w:t>
            </w:r>
            <w:proofErr w:type="spellStart"/>
            <w:r>
              <w:rPr>
                <w:rFonts w:ascii="Arial" w:hAnsi="Arial" w:cs="Arial"/>
              </w:rPr>
              <w:t>truthing</w:t>
            </w:r>
            <w:proofErr w:type="spellEnd"/>
            <w:r>
              <w:rPr>
                <w:rFonts w:ascii="Arial" w:hAnsi="Arial" w:cs="Arial"/>
              </w:rPr>
              <w:t xml:space="preserve"> of habitat maps/models, which can be key tools in sustainable forest development.  </w:t>
            </w:r>
          </w:p>
          <w:p w:rsidR="00F27810" w:rsidRDefault="00F27810" w:rsidP="00F27810">
            <w:pPr>
              <w:pStyle w:val="ListParagraph"/>
              <w:numPr>
                <w:ilvl w:val="0"/>
                <w:numId w:val="32"/>
              </w:numPr>
            </w:pPr>
            <w:r>
              <w:rPr>
                <w:rFonts w:ascii="Arial" w:hAnsi="Arial" w:cs="Arial"/>
              </w:rPr>
              <w:t xml:space="preserve">Support for recovery and action planning teams working on forest species has also been a focus for FIA funds.  These teams produce the strategies and plans that provide the scientific foundation for managing species at risk in BC forests, while also meeting the planning requirements of the federal Species at Risk Act.  Because they are composed of volunteer participants from industry, academia, government, and First Nations, recovery teams provide excellent value for relatively little investment.  ESD has direct custodial responsibility for over 30 distinct corporate data systems and several hundred databases, datasets and spatial layers for fish, wildlife and ecosystems values.  </w:t>
            </w:r>
          </w:p>
          <w:p w:rsidR="00F27810" w:rsidRDefault="00F27810" w:rsidP="00F27810">
            <w:pPr>
              <w:widowControl/>
              <w:spacing w:after="120"/>
              <w:rPr>
                <w:rFonts w:ascii="Arial" w:hAnsi="Arial" w:cs="Arial"/>
                <w:i/>
              </w:rPr>
            </w:pPr>
          </w:p>
        </w:tc>
      </w:tr>
      <w:tr w:rsidR="00F27810" w:rsidTr="00F27810">
        <w:tblPrEx>
          <w:tblBorders>
            <w:insideH w:val="none" w:sz="0" w:space="0" w:color="auto"/>
            <w:insideV w:val="none" w:sz="0" w:space="0" w:color="auto"/>
          </w:tblBorders>
        </w:tblPrEx>
        <w:trPr>
          <w:cantSplit/>
        </w:trPr>
        <w:tc>
          <w:tcPr>
            <w:tcW w:w="10008" w:type="dxa"/>
          </w:tcPr>
          <w:p w:rsidR="00F27810" w:rsidRDefault="00F27810" w:rsidP="00F27810">
            <w:pPr>
              <w:pStyle w:val="ListParagraph"/>
              <w:numPr>
                <w:ilvl w:val="0"/>
                <w:numId w:val="32"/>
              </w:numPr>
              <w:spacing w:after="200" w:line="276" w:lineRule="auto"/>
              <w:contextualSpacing/>
              <w:rPr>
                <w:rFonts w:ascii="Arial" w:hAnsi="Arial" w:cs="Arial"/>
              </w:rPr>
            </w:pPr>
          </w:p>
        </w:tc>
      </w:tr>
      <w:tr w:rsidR="00F27810" w:rsidTr="00F27810">
        <w:tblPrEx>
          <w:tblBorders>
            <w:insideH w:val="none" w:sz="0" w:space="0" w:color="auto"/>
            <w:insideV w:val="none" w:sz="0" w:space="0" w:color="auto"/>
          </w:tblBorders>
        </w:tblPrEx>
        <w:trPr>
          <w:cantSplit/>
        </w:trPr>
        <w:tc>
          <w:tcPr>
            <w:tcW w:w="10008" w:type="dxa"/>
          </w:tcPr>
          <w:p w:rsidR="00F27810" w:rsidRDefault="00F27810" w:rsidP="00F27810">
            <w:pPr>
              <w:pStyle w:val="ListParagraph"/>
              <w:numPr>
                <w:ilvl w:val="0"/>
                <w:numId w:val="32"/>
              </w:numPr>
            </w:pPr>
            <w:r>
              <w:rPr>
                <w:rFonts w:ascii="Arial" w:hAnsi="Arial" w:cs="Arial"/>
              </w:rPr>
              <w:lastRenderedPageBreak/>
              <w:t>Custodial responsibilities means it is our obligation to the NR Sector to provide resourcing for the operations, currency, accessibility and governance of these datasets and systems that support and link to them</w:t>
            </w:r>
          </w:p>
          <w:p w:rsidR="00F27810" w:rsidRDefault="00F27810" w:rsidP="00F27810">
            <w:pPr>
              <w:pStyle w:val="ListParagraph"/>
              <w:numPr>
                <w:ilvl w:val="0"/>
                <w:numId w:val="32"/>
              </w:numPr>
            </w:pPr>
            <w:r>
              <w:rPr>
                <w:rFonts w:ascii="Arial" w:hAnsi="Arial" w:cs="Arial"/>
              </w:rPr>
              <w:t xml:space="preserve">These custodial holdings represent the most comprehensive compilation of basic inventory information that are used and relied upon by the Natural Resource Sector to identify, plan and mitigate impacts to environmental values.  </w:t>
            </w:r>
          </w:p>
          <w:p w:rsidR="00F27810" w:rsidRDefault="00F27810" w:rsidP="00F27810">
            <w:pPr>
              <w:pStyle w:val="ListParagraph"/>
              <w:numPr>
                <w:ilvl w:val="0"/>
                <w:numId w:val="32"/>
              </w:numPr>
            </w:pPr>
            <w:r>
              <w:rPr>
                <w:rFonts w:ascii="Arial" w:hAnsi="Arial" w:cs="Arial"/>
              </w:rPr>
              <w:t xml:space="preserve">These are key sources of information that provide the foundation for the successful delivery of the Conservation Framework, Major Projects Reviews, Forest Stewardship Planning, Species Recovery, EBM, and many others.  </w:t>
            </w:r>
          </w:p>
          <w:p w:rsidR="00F27810" w:rsidRDefault="00F27810" w:rsidP="00F27810">
            <w:pPr>
              <w:pStyle w:val="ListParagraph"/>
              <w:numPr>
                <w:ilvl w:val="0"/>
                <w:numId w:val="32"/>
              </w:numPr>
            </w:pPr>
            <w:r>
              <w:rPr>
                <w:rFonts w:ascii="Arial" w:hAnsi="Arial" w:cs="Arial"/>
              </w:rPr>
              <w:t>Basic information services (such as collecting and loading information, organizing and managing it, and making the information accessible for analysis and use) in ESD are currently funded primarily from recovery dollars (FIA) with a small portion ($120K) coming from base.  Most of this work is done through contracts. Without operational funding, much of this work cannot happen or will happen at a much reduced level.</w:t>
            </w:r>
          </w:p>
          <w:p w:rsidR="00F27810" w:rsidRDefault="00F27810" w:rsidP="00F27810">
            <w:pPr>
              <w:pStyle w:val="ListParagraph"/>
              <w:numPr>
                <w:ilvl w:val="0"/>
                <w:numId w:val="32"/>
              </w:numPr>
            </w:pPr>
            <w:r>
              <w:rPr>
                <w:rFonts w:ascii="Arial" w:hAnsi="Arial" w:cs="Arial"/>
              </w:rPr>
              <w:t>Given the inter-dependencies of this core environmental information within the Natural Resource Sector, failing to meet our custodial responsibilities will: negatively impact the credibility of the ministry, will result in reduced or no service to our clients in certain business areas, and undermine government’s goal for science-based decision making.</w:t>
            </w:r>
            <w:r>
              <w:rPr>
                <w:rFonts w:ascii="Arial" w:eastAsiaTheme="minorHAnsi" w:hAnsi="Arial" w:cstheme="minorBidi"/>
                <w:i/>
              </w:rPr>
              <w:t xml:space="preserve"> </w:t>
            </w:r>
          </w:p>
          <w:p w:rsidR="00F27810" w:rsidRDefault="00F27810" w:rsidP="00F27810">
            <w:pPr>
              <w:pStyle w:val="ListParagraph"/>
              <w:ind w:left="360"/>
            </w:pPr>
          </w:p>
          <w:p w:rsidR="00F27810" w:rsidRDefault="00F27810" w:rsidP="00F27810"/>
          <w:p w:rsidR="00F27810" w:rsidRDefault="00F27810" w:rsidP="00F27810">
            <w:pPr>
              <w:pStyle w:val="ListParagraph"/>
              <w:numPr>
                <w:ilvl w:val="0"/>
                <w:numId w:val="29"/>
              </w:numPr>
              <w:spacing w:after="180" w:line="276" w:lineRule="auto"/>
              <w:rPr>
                <w:rFonts w:ascii="Arial" w:hAnsi="Arial"/>
                <w:i/>
                <w:snapToGrid w:val="0"/>
                <w:sz w:val="20"/>
                <w:szCs w:val="20"/>
                <w:lang w:val="en-US"/>
              </w:rPr>
            </w:pPr>
            <w:r>
              <w:rPr>
                <w:rFonts w:ascii="Arial" w:hAnsi="Arial"/>
                <w:i/>
                <w:snapToGrid w:val="0"/>
                <w:sz w:val="20"/>
                <w:szCs w:val="20"/>
                <w:lang w:val="en-US"/>
              </w:rPr>
              <w:t>how the investment addresses structural timber supply or ecological integrity issues;</w:t>
            </w:r>
          </w:p>
          <w:p w:rsidR="00F27810" w:rsidRDefault="00F27810" w:rsidP="00F27810">
            <w:pPr>
              <w:pStyle w:val="ListParagraph"/>
              <w:numPr>
                <w:ilvl w:val="0"/>
                <w:numId w:val="33"/>
              </w:numPr>
              <w:rPr>
                <w:rFonts w:ascii="Arial" w:eastAsiaTheme="minorHAnsi" w:hAnsi="Arial" w:cs="Arial"/>
                <w:i/>
              </w:rPr>
            </w:pPr>
            <w:r>
              <w:rPr>
                <w:rFonts w:ascii="Arial" w:eastAsiaTheme="minorHAnsi" w:hAnsi="Arial" w:cstheme="minorBidi"/>
                <w:i/>
              </w:rPr>
              <w:t xml:space="preserve">These tools and inventories will assist in determining and managing potential impacts to species of importance to first nations and ensuring we can determine and avoid infringement on First Nation’s rights as determined is necessary from the Williams decision. The information associated with these designations is necessary to inform and assist TSRs particularly UWRs and FSWs. FSWs will be critical in allowing developing strategies to avoid hydrological impacts to watersheds particularly in those impacted by beetles and fire and avoiding or minimizing reductions in AACs, and ensuring maintenance of watershed ecological integrity. These tools are the main mechanisms to ensure the maintenance of the integrity of habitats for SAR and species of regional concern. </w:t>
            </w:r>
          </w:p>
          <w:p w:rsidR="00F27810" w:rsidRDefault="00F27810" w:rsidP="00F27810">
            <w:pPr>
              <w:spacing w:after="180" w:line="276" w:lineRule="auto"/>
              <w:rPr>
                <w:rFonts w:ascii="Arial" w:hAnsi="Arial"/>
                <w:i/>
                <w:snapToGrid w:val="0"/>
              </w:rPr>
            </w:pPr>
          </w:p>
          <w:p w:rsidR="00F27810" w:rsidRDefault="00F27810" w:rsidP="00F27810">
            <w:pPr>
              <w:pStyle w:val="ListParagraph"/>
              <w:numPr>
                <w:ilvl w:val="0"/>
                <w:numId w:val="29"/>
              </w:numPr>
              <w:spacing w:after="180" w:line="276" w:lineRule="auto"/>
              <w:rPr>
                <w:rFonts w:ascii="Arial" w:hAnsi="Arial"/>
                <w:i/>
                <w:snapToGrid w:val="0"/>
                <w:sz w:val="20"/>
                <w:szCs w:val="20"/>
                <w:lang w:val="en-US"/>
              </w:rPr>
            </w:pPr>
            <w:r>
              <w:rPr>
                <w:rFonts w:ascii="Arial" w:hAnsi="Arial"/>
                <w:i/>
                <w:snapToGrid w:val="0"/>
              </w:rPr>
              <w:t>Any specific biological windows that would impact success related to the investment</w:t>
            </w:r>
            <w:r>
              <w:rPr>
                <w:rFonts w:ascii="Arial" w:eastAsiaTheme="minorHAnsi" w:hAnsi="Arial" w:cstheme="minorBidi"/>
                <w:i/>
              </w:rPr>
              <w:t>.</w:t>
            </w:r>
          </w:p>
          <w:p w:rsidR="00F27810" w:rsidRDefault="00F27810" w:rsidP="00F27810">
            <w:pPr>
              <w:widowControl/>
              <w:spacing w:after="180" w:line="276" w:lineRule="auto"/>
              <w:rPr>
                <w:rFonts w:ascii="Arial" w:eastAsiaTheme="minorHAnsi" w:hAnsi="Arial" w:cstheme="minorBidi"/>
                <w:i/>
                <w:sz w:val="22"/>
                <w:szCs w:val="22"/>
                <w:lang w:val="en-CA"/>
              </w:rPr>
            </w:pPr>
            <w:r>
              <w:rPr>
                <w:rFonts w:ascii="Arial" w:eastAsiaTheme="minorHAnsi" w:hAnsi="Arial" w:cstheme="minorBidi"/>
                <w:i/>
                <w:sz w:val="22"/>
                <w:szCs w:val="22"/>
                <w:lang w:val="en-CA"/>
              </w:rPr>
              <w:t>These tools will help inform the establishment of biological windows for all land use activities. All work will obviously be done at appropriate times for the respective species.</w:t>
            </w:r>
          </w:p>
          <w:p w:rsidR="00F27810" w:rsidRDefault="00F27810" w:rsidP="00F27810">
            <w:pPr>
              <w:pStyle w:val="ListParagraph"/>
              <w:numPr>
                <w:ilvl w:val="0"/>
                <w:numId w:val="34"/>
              </w:numPr>
              <w:rPr>
                <w:rFonts w:ascii="Arial" w:eastAsiaTheme="minorHAnsi" w:hAnsi="Arial" w:cstheme="minorBidi"/>
                <w:i/>
              </w:rPr>
            </w:pPr>
            <w:r>
              <w:rPr>
                <w:rFonts w:ascii="Arial" w:eastAsiaTheme="minorHAnsi" w:hAnsi="Arial" w:cstheme="minorBidi"/>
                <w:i/>
              </w:rPr>
              <w:t>Strength of evidence that the activity will result in the projected outcomes</w:t>
            </w:r>
          </w:p>
          <w:p w:rsidR="00F27810" w:rsidRDefault="00F27810" w:rsidP="00F27810">
            <w:pPr>
              <w:ind w:left="360"/>
              <w:rPr>
                <w:rFonts w:ascii="Arial" w:eastAsiaTheme="minorHAnsi" w:hAnsi="Arial" w:cstheme="minorBidi"/>
                <w:i/>
                <w:sz w:val="22"/>
                <w:szCs w:val="22"/>
                <w:lang w:val="en-CA"/>
              </w:rPr>
            </w:pPr>
          </w:p>
          <w:p w:rsidR="00F27810" w:rsidRDefault="00F27810" w:rsidP="00F27810">
            <w:pPr>
              <w:pStyle w:val="ListParagraph"/>
              <w:numPr>
                <w:ilvl w:val="0"/>
                <w:numId w:val="35"/>
              </w:numPr>
              <w:rPr>
                <w:rFonts w:ascii="Arial" w:eastAsiaTheme="minorHAnsi" w:hAnsi="Arial" w:cstheme="minorBidi"/>
                <w:i/>
              </w:rPr>
            </w:pPr>
            <w:r>
              <w:rPr>
                <w:rFonts w:ascii="Arial" w:eastAsiaTheme="minorHAnsi" w:hAnsi="Arial" w:cstheme="minorBidi"/>
                <w:i/>
              </w:rPr>
              <w:t xml:space="preserve">The program has been in place for a number of years resulting in the successful designation of habitat authorities for SAR, UWRs, and FSWS. The GAR strategy is following the Conservation Framework, which is Cabinet endorsed document and hence a high priority provincial sub-function/activity. It identifies what has been done and what is left to do. It will be a key tool in identifying resource requirements, coordinate implementation provincially and drive collaborative work plans, and will answer industry questions on when GAR implementation will be complete. FIA dollars have been used to develop the Watershed Evaluation Tool to support Fisheries Sensitive Watersheds. Furthermore, FIA funded work on two key pilots for the implementation of Fisheries Sensitive Watersheds; Skeena and Prince George. This work is expected to lead to the establishment of 15 FSW designations. Additional support has been provided to support future FSW designations in Fort St. James, </w:t>
            </w:r>
            <w:proofErr w:type="spellStart"/>
            <w:r>
              <w:rPr>
                <w:rFonts w:ascii="Arial" w:eastAsiaTheme="minorHAnsi" w:hAnsi="Arial" w:cstheme="minorBidi"/>
                <w:i/>
              </w:rPr>
              <w:t>Cariboo</w:t>
            </w:r>
            <w:proofErr w:type="spellEnd"/>
            <w:r>
              <w:rPr>
                <w:rFonts w:ascii="Arial" w:eastAsiaTheme="minorHAnsi" w:hAnsi="Arial" w:cstheme="minorBidi"/>
                <w:i/>
              </w:rPr>
              <w:t xml:space="preserve"> and Vancouver Island.  </w:t>
            </w:r>
          </w:p>
          <w:p w:rsidR="00F27810" w:rsidRDefault="00F27810" w:rsidP="00F27810">
            <w:pPr>
              <w:pStyle w:val="ListParagraph"/>
              <w:numPr>
                <w:ilvl w:val="0"/>
                <w:numId w:val="32"/>
              </w:numPr>
              <w:spacing w:after="200" w:line="276" w:lineRule="auto"/>
              <w:contextualSpacing/>
              <w:rPr>
                <w:rFonts w:ascii="Arial" w:hAnsi="Arial" w:cs="Arial"/>
              </w:rPr>
            </w:pPr>
          </w:p>
        </w:tc>
      </w:tr>
      <w:tr w:rsidR="00F27810"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F27810" w:rsidRDefault="00F27810" w:rsidP="00F27810">
            <w:pPr>
              <w:pStyle w:val="ListParagraph"/>
              <w:numPr>
                <w:ilvl w:val="0"/>
                <w:numId w:val="35"/>
              </w:numPr>
              <w:rPr>
                <w:rFonts w:ascii="Arial" w:eastAsiaTheme="minorHAnsi" w:hAnsi="Arial" w:cstheme="minorBidi"/>
                <w:i/>
              </w:rPr>
            </w:pPr>
            <w:r>
              <w:rPr>
                <w:rFonts w:ascii="Arial" w:eastAsiaTheme="minorHAnsi" w:hAnsi="Arial" w:cstheme="minorBidi"/>
                <w:i/>
              </w:rPr>
              <w:lastRenderedPageBreak/>
              <w:t xml:space="preserve">Since 2007/08 FIA dollars have supported WHA work on more than 20 species. Over this time a total of 1605 WHAs have been established totalling over 500,000 ha. </w:t>
            </w:r>
          </w:p>
          <w:p w:rsidR="00F27810" w:rsidRDefault="00F27810" w:rsidP="00F27810">
            <w:pPr>
              <w:pStyle w:val="ListParagraph"/>
              <w:numPr>
                <w:ilvl w:val="0"/>
                <w:numId w:val="35"/>
              </w:numPr>
              <w:rPr>
                <w:rFonts w:ascii="Arial" w:eastAsiaTheme="minorHAnsi" w:hAnsi="Arial" w:cstheme="minorBidi"/>
                <w:i/>
              </w:rPr>
            </w:pPr>
            <w:r>
              <w:rPr>
                <w:rFonts w:ascii="Arial" w:eastAsiaTheme="minorHAnsi" w:hAnsi="Arial" w:cstheme="minorBidi"/>
                <w:i/>
              </w:rPr>
              <w:t>Since 2007/08 FIA dollars have supported the establishment of 18 UWR plans totalling over 1,263,930 ha.</w:t>
            </w:r>
          </w:p>
          <w:p w:rsidR="00F27810" w:rsidRDefault="00F27810" w:rsidP="00F27810">
            <w:pPr>
              <w:pStyle w:val="ListParagraph"/>
              <w:numPr>
                <w:ilvl w:val="0"/>
                <w:numId w:val="35"/>
              </w:numPr>
              <w:rPr>
                <w:rFonts w:ascii="Arial" w:eastAsiaTheme="minorHAnsi" w:hAnsi="Arial" w:cstheme="minorBidi"/>
                <w:i/>
              </w:rPr>
            </w:pPr>
            <w:r>
              <w:rPr>
                <w:rFonts w:ascii="Arial" w:eastAsiaTheme="minorHAnsi" w:hAnsi="Arial" w:cstheme="minorBidi"/>
                <w:i/>
              </w:rPr>
              <w:t xml:space="preserve">Additional FIA dollars have been used to support program development for Temperature Sensitive Streams, Wildlife Habitat Features and Regionally Important Wildlife. </w:t>
            </w:r>
          </w:p>
          <w:p w:rsidR="00F27810" w:rsidRDefault="00F27810" w:rsidP="00F27810">
            <w:pPr>
              <w:pStyle w:val="ListParagraph"/>
              <w:numPr>
                <w:ilvl w:val="0"/>
                <w:numId w:val="35"/>
              </w:numPr>
              <w:rPr>
                <w:rFonts w:ascii="Arial" w:hAnsi="Arial" w:cs="Arial"/>
              </w:rPr>
            </w:pPr>
            <w:proofErr w:type="gramStart"/>
            <w:r>
              <w:rPr>
                <w:rFonts w:ascii="Arial" w:hAnsi="Arial" w:cs="Arial"/>
              </w:rPr>
              <w:t>funds</w:t>
            </w:r>
            <w:proofErr w:type="gramEnd"/>
            <w:r>
              <w:rPr>
                <w:rFonts w:ascii="Arial" w:hAnsi="Arial" w:cs="Arial"/>
              </w:rPr>
              <w:t xml:space="preserve"> have been used to support recovery teams for Williamson’s Sapsucker, northern caribou, and Cryptic Paw Lichen (an old growth dependent, national-threatened lichen).</w:t>
            </w:r>
          </w:p>
          <w:p w:rsidR="00F27810" w:rsidRDefault="00F27810" w:rsidP="00F27810"/>
          <w:p w:rsidR="00F27810" w:rsidRDefault="00F27810" w:rsidP="00F27810">
            <w:pPr>
              <w:pStyle w:val="ListParagraph"/>
              <w:numPr>
                <w:ilvl w:val="0"/>
                <w:numId w:val="30"/>
              </w:numPr>
              <w:rPr>
                <w:rFonts w:ascii="Arial" w:eastAsiaTheme="minorHAnsi" w:hAnsi="Arial" w:cstheme="minorBidi"/>
                <w:i/>
              </w:rPr>
            </w:pPr>
            <w:r>
              <w:rPr>
                <w:rFonts w:ascii="Arial" w:eastAsiaTheme="minorHAnsi" w:hAnsi="Arial" w:cstheme="minorBidi"/>
                <w:i/>
              </w:rPr>
              <w:t xml:space="preserve">To what extent will the allocation of resources to this activity create employment opportunities </w:t>
            </w:r>
          </w:p>
          <w:p w:rsidR="00F27810" w:rsidRDefault="00F27810" w:rsidP="00F27810">
            <w:pPr>
              <w:ind w:left="360"/>
              <w:rPr>
                <w:rFonts w:ascii="Arial" w:eastAsiaTheme="minorHAnsi" w:hAnsi="Arial" w:cstheme="minorBidi"/>
                <w:i/>
              </w:rPr>
            </w:pPr>
          </w:p>
          <w:p w:rsidR="00F27810" w:rsidRDefault="00F27810" w:rsidP="00F27810">
            <w:pPr>
              <w:rPr>
                <w:rFonts w:ascii="Arial" w:eastAsiaTheme="minorHAnsi" w:hAnsi="Arial" w:cstheme="minorBidi"/>
                <w:i/>
                <w:sz w:val="22"/>
                <w:szCs w:val="22"/>
                <w:lang w:val="en-CA"/>
              </w:rPr>
            </w:pPr>
            <w:r>
              <w:rPr>
                <w:rFonts w:ascii="Arial" w:eastAsiaTheme="minorHAnsi" w:hAnsi="Arial" w:cstheme="minorBidi"/>
                <w:i/>
                <w:sz w:val="22"/>
                <w:szCs w:val="22"/>
                <w:lang w:val="en-CA"/>
              </w:rPr>
              <w:t>The implementation of these tools will create the following estimates of employment in their designation alone. Their designation is one of the key mechanisms for multiple resource sectors in meeting their social license critical to maintaining and increasing market: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94"/>
              <w:gridCol w:w="2394"/>
            </w:tblGrid>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Category</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Direct Employment</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WHA</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5</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UWR</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FSW</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4</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SAR recovery</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6</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Monitoring</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3</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Data Management</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2</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Other</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1</w:t>
                  </w:r>
                </w:p>
              </w:tc>
            </w:tr>
            <w:tr w:rsidR="00F27810" w:rsidRPr="00F27810" w:rsidTr="00F27810">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Total</w:t>
                  </w:r>
                </w:p>
              </w:tc>
              <w:tc>
                <w:tcPr>
                  <w:tcW w:w="2394" w:type="dxa"/>
                  <w:tcBorders>
                    <w:top w:val="single" w:sz="4" w:space="0" w:color="auto"/>
                    <w:left w:val="single" w:sz="4" w:space="0" w:color="auto"/>
                    <w:bottom w:val="single" w:sz="4" w:space="0" w:color="auto"/>
                    <w:right w:val="single" w:sz="4" w:space="0" w:color="auto"/>
                  </w:tcBorders>
                  <w:hideMark/>
                </w:tcPr>
                <w:p w:rsidR="00F27810" w:rsidRPr="00F27810" w:rsidRDefault="00F27810" w:rsidP="00F27810">
                  <w:pPr>
                    <w:widowControl/>
                    <w:tabs>
                      <w:tab w:val="center" w:pos="4320"/>
                      <w:tab w:val="right" w:pos="8640"/>
                    </w:tabs>
                    <w:spacing w:after="120"/>
                    <w:rPr>
                      <w:rFonts w:ascii="Arial" w:hAnsi="Arial" w:cs="Arial"/>
                      <w:i/>
                    </w:rPr>
                  </w:pPr>
                  <w:r w:rsidRPr="00F27810">
                    <w:rPr>
                      <w:rFonts w:ascii="Arial" w:hAnsi="Arial" w:cs="Arial"/>
                      <w:i/>
                    </w:rPr>
                    <w:t>24</w:t>
                  </w:r>
                </w:p>
              </w:tc>
            </w:tr>
          </w:tbl>
          <w:p w:rsidR="00F27810" w:rsidRDefault="00F27810" w:rsidP="00F27810">
            <w:pPr>
              <w:pStyle w:val="ListParagraph"/>
              <w:numPr>
                <w:ilvl w:val="0"/>
                <w:numId w:val="39"/>
              </w:numPr>
            </w:pPr>
            <w:r>
              <w:t xml:space="preserve">To what extent will the allocation of resources to this activity create greater return on investment or benefit cost ratio  </w:t>
            </w:r>
          </w:p>
          <w:p w:rsidR="00F27810" w:rsidRDefault="00F27810" w:rsidP="00F27810"/>
          <w:p w:rsidR="00F27810" w:rsidRDefault="00F27810" w:rsidP="00F27810">
            <w:pPr>
              <w:pStyle w:val="ListParagraph"/>
              <w:numPr>
                <w:ilvl w:val="0"/>
                <w:numId w:val="39"/>
              </w:numPr>
            </w:pPr>
            <w:r>
              <w:t>To what extent will the allocation of resources to this activity attract the resources of other parties or organizations</w:t>
            </w:r>
          </w:p>
          <w:p w:rsidR="00F27810" w:rsidRDefault="00F27810" w:rsidP="00F27810">
            <w:pPr>
              <w:rPr>
                <w:rFonts w:ascii="Arial" w:eastAsiaTheme="minorHAnsi" w:hAnsi="Arial" w:cstheme="minorBidi"/>
                <w:i/>
                <w:sz w:val="22"/>
                <w:szCs w:val="22"/>
                <w:lang w:val="en-CA"/>
              </w:rPr>
            </w:pPr>
            <w:proofErr w:type="gramStart"/>
            <w:r>
              <w:rPr>
                <w:rFonts w:ascii="Arial" w:eastAsiaTheme="minorHAnsi" w:hAnsi="Arial" w:cstheme="minorBidi"/>
                <w:i/>
                <w:sz w:val="22"/>
                <w:szCs w:val="22"/>
                <w:lang w:val="en-CA"/>
              </w:rPr>
              <w:t>Staff were</w:t>
            </w:r>
            <w:proofErr w:type="gramEnd"/>
            <w:r>
              <w:rPr>
                <w:rFonts w:ascii="Arial" w:eastAsiaTheme="minorHAnsi" w:hAnsi="Arial" w:cstheme="minorBidi"/>
                <w:i/>
                <w:sz w:val="22"/>
                <w:szCs w:val="22"/>
                <w:lang w:val="en-CA"/>
              </w:rPr>
              <w:t xml:space="preserve"> successful in using previous funds allocated before the category was eliminated on a 1 to 1 leveraging basis.</w:t>
            </w:r>
          </w:p>
          <w:p w:rsidR="00F27810" w:rsidRDefault="00F27810" w:rsidP="00F27810">
            <w:pPr>
              <w:widowControl/>
              <w:spacing w:after="120" w:line="276" w:lineRule="auto"/>
              <w:ind w:right="720"/>
              <w:rPr>
                <w:rFonts w:ascii="Arial" w:hAnsi="Arial"/>
                <w:i/>
                <w:snapToGrid w:val="0"/>
              </w:rPr>
            </w:pPr>
          </w:p>
          <w:p w:rsidR="00F27810" w:rsidRDefault="00F27810" w:rsidP="00F27810">
            <w:r>
              <w:br w:type="page"/>
            </w:r>
          </w:p>
          <w:p w:rsidR="00F27810" w:rsidRDefault="00F27810" w:rsidP="00F27810">
            <w:pPr>
              <w:pStyle w:val="ListParagraph"/>
              <w:numPr>
                <w:ilvl w:val="0"/>
                <w:numId w:val="32"/>
              </w:numPr>
              <w:rPr>
                <w:rFonts w:ascii="Arial" w:hAnsi="Arial" w:cs="Arial"/>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CE343C">
            <w:pPr>
              <w:autoSpaceDE w:val="0"/>
              <w:autoSpaceDN w:val="0"/>
              <w:adjustRightInd w:val="0"/>
              <w:rPr>
                <w:rFonts w:ascii="Arial" w:hAnsi="Arial" w:cs="Arial"/>
                <w:b/>
              </w:rPr>
            </w:pPr>
            <w:r>
              <w:rPr>
                <w:rFonts w:ascii="Arial" w:hAnsi="Arial" w:cs="Arial"/>
                <w:b/>
                <w:highlight w:val="lightGray"/>
              </w:rPr>
              <w:t xml:space="preserve">Amount Allocated (to be filled out by </w:t>
            </w:r>
            <w:r w:rsidR="00CE343C">
              <w:rPr>
                <w:rFonts w:ascii="Arial" w:hAnsi="Arial" w:cs="Arial"/>
                <w:b/>
                <w:highlight w:val="lightGray"/>
              </w:rPr>
              <w:t>CIO/RPB)</w:t>
            </w:r>
            <w:r>
              <w:rPr>
                <w:rFonts w:ascii="Arial" w:hAnsi="Arial" w:cs="Arial"/>
                <w:b/>
                <w:highlight w:val="lightGray"/>
              </w:rPr>
              <w:t>:</w:t>
            </w:r>
          </w:p>
        </w:tc>
      </w:tr>
      <w:tr w:rsidR="009661C2" w:rsidTr="00457487">
        <w:trPr>
          <w:cantSplit/>
        </w:trPr>
        <w:tc>
          <w:tcPr>
            <w:tcW w:w="10008" w:type="dxa"/>
            <w:tcBorders>
              <w:top w:val="single" w:sz="4" w:space="0" w:color="auto"/>
              <w:bottom w:val="single" w:sz="4" w:space="0" w:color="auto"/>
            </w:tcBorders>
          </w:tcPr>
          <w:p w:rsidR="009661C2" w:rsidRDefault="009661C2" w:rsidP="00CE343C">
            <w:pPr>
              <w:autoSpaceDE w:val="0"/>
              <w:autoSpaceDN w:val="0"/>
              <w:adjustRightInd w:val="0"/>
              <w:rPr>
                <w:rFonts w:ascii="Arial" w:hAnsi="Arial" w:cs="Arial"/>
                <w:b/>
                <w:highlight w:val="lightGray"/>
              </w:rPr>
            </w:pPr>
            <w:r>
              <w:rPr>
                <w:rFonts w:ascii="Arial" w:hAnsi="Arial" w:cs="Arial"/>
                <w:b/>
                <w:highlight w:val="lightGray"/>
              </w:rPr>
              <w:t xml:space="preserve">Allocation </w:t>
            </w:r>
            <w:r w:rsidR="00CE343C">
              <w:rPr>
                <w:rFonts w:ascii="Arial" w:hAnsi="Arial" w:cs="Arial"/>
                <w:b/>
                <w:highlight w:val="lightGray"/>
              </w:rPr>
              <w:t>Rationale (to be filled out by CIO/RPB)</w:t>
            </w:r>
            <w:r>
              <w:rPr>
                <w:rFonts w:ascii="Arial" w:hAnsi="Arial" w:cs="Arial"/>
                <w:b/>
                <w:highlight w:val="lightGray"/>
              </w:rPr>
              <w:t>:</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rsidP="00CE343C"/>
    <w:sectPr w:rsidR="00081002"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1C2" w:rsidRDefault="009661C2">
      <w:r>
        <w:separator/>
      </w:r>
    </w:p>
  </w:endnote>
  <w:endnote w:type="continuationSeparator" w:id="0">
    <w:p w:rsidR="009661C2" w:rsidRDefault="00966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Pr="00630124" w:rsidRDefault="009661C2"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845CD4" w:rsidRPr="00630124">
      <w:rPr>
        <w:rStyle w:val="PageNumber"/>
        <w:rFonts w:ascii="Arial" w:hAnsi="Arial" w:cs="Arial"/>
      </w:rPr>
      <w:fldChar w:fldCharType="begin"/>
    </w:r>
    <w:r w:rsidRPr="00630124">
      <w:rPr>
        <w:rStyle w:val="PageNumber"/>
        <w:rFonts w:ascii="Arial" w:hAnsi="Arial" w:cs="Arial"/>
      </w:rPr>
      <w:instrText xml:space="preserve"> PAGE </w:instrText>
    </w:r>
    <w:r w:rsidR="00845CD4" w:rsidRPr="00630124">
      <w:rPr>
        <w:rStyle w:val="PageNumber"/>
        <w:rFonts w:ascii="Arial" w:hAnsi="Arial" w:cs="Arial"/>
      </w:rPr>
      <w:fldChar w:fldCharType="separate"/>
    </w:r>
    <w:r w:rsidR="00F27810">
      <w:rPr>
        <w:rStyle w:val="PageNumber"/>
        <w:rFonts w:ascii="Arial" w:hAnsi="Arial" w:cs="Arial"/>
        <w:noProof/>
      </w:rPr>
      <w:t>1</w:t>
    </w:r>
    <w:r w:rsidR="00845CD4"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1C2" w:rsidRDefault="009661C2">
      <w:r>
        <w:separator/>
      </w:r>
    </w:p>
  </w:footnote>
  <w:footnote w:type="continuationSeparator" w:id="0">
    <w:p w:rsidR="009661C2" w:rsidRDefault="009661C2">
      <w:r>
        <w:continuationSeparator/>
      </w:r>
    </w:p>
  </w:footnote>
  <w:footnote w:id="1">
    <w:p w:rsidR="00F27810" w:rsidRDefault="00F27810" w:rsidP="00F27810">
      <w:pPr>
        <w:pStyle w:val="FootnoteText"/>
      </w:pPr>
      <w:r>
        <w:rPr>
          <w:rStyle w:val="FootnoteReference"/>
        </w:rPr>
        <w:footnoteRef/>
      </w:r>
      <w:r>
        <w:t xml:space="preserve"> Does the investment result in a significant contribution to achieving the provincial goals and objectives?</w:t>
      </w:r>
    </w:p>
  </w:footnote>
  <w:footnote w:id="2">
    <w:p w:rsidR="00F27810" w:rsidRDefault="00F27810" w:rsidP="00F27810">
      <w:pPr>
        <w:pStyle w:val="FootnoteText"/>
      </w:pPr>
      <w:r>
        <w:rPr>
          <w:rStyle w:val="FootnoteReference"/>
        </w:rPr>
        <w:footnoteRef/>
      </w:r>
      <w:r>
        <w:t xml:space="preserve"> Does the investment assist in the achievement </w:t>
      </w:r>
      <w:proofErr w:type="gramStart"/>
      <w:r>
        <w:t>of  indicators</w:t>
      </w:r>
      <w:proofErr w:type="gramEnd"/>
      <w:r>
        <w:t xml:space="preserve"> or targets in other investment categories?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845CD4">
    <w:pPr>
      <w:pStyle w:val="Header"/>
    </w:pPr>
    <w:r w:rsidRPr="00845CD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845CD4" w:rsidP="00AB565D">
    <w:pPr>
      <w:pStyle w:val="Header"/>
      <w:pBdr>
        <w:bottom w:val="single" w:sz="2" w:space="1" w:color="auto"/>
      </w:pBdr>
      <w:tabs>
        <w:tab w:val="clear" w:pos="8640"/>
        <w:tab w:val="left" w:pos="7371"/>
        <w:tab w:val="right" w:pos="9360"/>
      </w:tabs>
      <w:spacing w:after="120"/>
      <w:rPr>
        <w:rFonts w:ascii="Arial" w:hAnsi="Arial" w:cs="Arial"/>
        <w:i/>
        <w:iCs/>
      </w:rPr>
    </w:pPr>
    <w:r w:rsidRPr="00845CD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661C2">
      <w:rPr>
        <w:rFonts w:ascii="Arial" w:hAnsi="Arial" w:cs="Arial"/>
        <w:i/>
        <w:iCs/>
      </w:rPr>
      <w:t>Ministry of Forests</w:t>
    </w:r>
    <w:r w:rsidR="00CE343C">
      <w:rPr>
        <w:rFonts w:ascii="Arial" w:hAnsi="Arial" w:cs="Arial"/>
        <w:i/>
        <w:iCs/>
      </w:rPr>
      <w:t>, Lands,</w:t>
    </w:r>
    <w:r w:rsidR="009661C2">
      <w:rPr>
        <w:rFonts w:ascii="Arial" w:hAnsi="Arial" w:cs="Arial"/>
        <w:i/>
        <w:iCs/>
      </w:rPr>
      <w:t xml:space="preserve"> &amp; </w:t>
    </w:r>
    <w:r w:rsidR="00CE343C">
      <w:rPr>
        <w:rFonts w:ascii="Arial" w:hAnsi="Arial" w:cs="Arial"/>
        <w:i/>
        <w:iCs/>
      </w:rPr>
      <w:t>Natural Resource Operations</w:t>
    </w:r>
    <w:r w:rsidR="009661C2">
      <w:rPr>
        <w:rFonts w:ascii="Arial" w:hAnsi="Arial" w:cs="Arial"/>
        <w:i/>
        <w:iCs/>
      </w:rPr>
      <w:tab/>
    </w:r>
    <w:r w:rsidR="009661C2">
      <w:rPr>
        <w:rFonts w:ascii="Arial" w:hAnsi="Arial" w:cs="Arial"/>
        <w:i/>
        <w:iCs/>
      </w:rPr>
      <w:tab/>
      <w:t xml:space="preserve">DR# </w:t>
    </w:r>
    <w:proofErr w:type="spellStart"/>
    <w:r w:rsidR="009661C2">
      <w:rPr>
        <w:rFonts w:ascii="Arial" w:hAnsi="Arial" w:cs="Arial"/>
        <w:i/>
        <w:iCs/>
      </w:rPr>
      <w:t>nn</w:t>
    </w:r>
    <w:proofErr w:type="spellEnd"/>
    <w:r w:rsidR="009661C2">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845CD4">
    <w:pPr>
      <w:pStyle w:val="Header"/>
    </w:pPr>
    <w:r w:rsidRPr="00845CD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3C722F6"/>
    <w:multiLevelType w:val="hybridMultilevel"/>
    <w:tmpl w:val="BBA64868"/>
    <w:lvl w:ilvl="0" w:tplc="10090001">
      <w:start w:val="1"/>
      <w:numFmt w:val="bullet"/>
      <w:lvlText w:val=""/>
      <w:lvlJc w:val="left"/>
      <w:pPr>
        <w:tabs>
          <w:tab w:val="num" w:pos="360"/>
        </w:tabs>
        <w:ind w:left="360" w:hanging="360"/>
      </w:pPr>
      <w:rPr>
        <w:rFonts w:ascii="Symbol" w:hAnsi="Symbol" w:hint="default"/>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
    <w:nsid w:val="0FA55A47"/>
    <w:multiLevelType w:val="hybridMultilevel"/>
    <w:tmpl w:val="6F50EF02"/>
    <w:lvl w:ilvl="0" w:tplc="10090011">
      <w:start w:val="1"/>
      <w:numFmt w:val="decimal"/>
      <w:lvlText w:val="%1)"/>
      <w:lvlJc w:val="left"/>
      <w:pPr>
        <w:ind w:left="720" w:hanging="360"/>
      </w:pPr>
      <w:rPr>
        <w:rFonts w:cs="Times New Roman"/>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5354E96"/>
    <w:multiLevelType w:val="hybridMultilevel"/>
    <w:tmpl w:val="77E02926"/>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6">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324A06B6"/>
    <w:multiLevelType w:val="hybridMultilevel"/>
    <w:tmpl w:val="46F6B71C"/>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6">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2">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55277C78"/>
    <w:multiLevelType w:val="hybridMultilevel"/>
    <w:tmpl w:val="9D9E501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4">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9">
    <w:nsid w:val="72EC0C1A"/>
    <w:multiLevelType w:val="hybridMultilevel"/>
    <w:tmpl w:val="9D9E501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0">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2">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3">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10"/>
  </w:num>
  <w:num w:numId="2">
    <w:abstractNumId w:val="0"/>
  </w:num>
  <w:num w:numId="3">
    <w:abstractNumId w:val="6"/>
  </w:num>
  <w:num w:numId="4">
    <w:abstractNumId w:val="19"/>
  </w:num>
  <w:num w:numId="5">
    <w:abstractNumId w:val="25"/>
  </w:num>
  <w:num w:numId="6">
    <w:abstractNumId w:val="21"/>
  </w:num>
  <w:num w:numId="7">
    <w:abstractNumId w:val="27"/>
  </w:num>
  <w:num w:numId="8">
    <w:abstractNumId w:val="4"/>
  </w:num>
  <w:num w:numId="9">
    <w:abstractNumId w:val="16"/>
  </w:num>
  <w:num w:numId="10">
    <w:abstractNumId w:val="30"/>
  </w:num>
  <w:num w:numId="11">
    <w:abstractNumId w:val="13"/>
  </w:num>
  <w:num w:numId="12">
    <w:abstractNumId w:val="18"/>
  </w:num>
  <w:num w:numId="13">
    <w:abstractNumId w:val="22"/>
  </w:num>
  <w:num w:numId="14">
    <w:abstractNumId w:val="12"/>
  </w:num>
  <w:num w:numId="15">
    <w:abstractNumId w:val="17"/>
  </w:num>
  <w:num w:numId="16">
    <w:abstractNumId w:val="14"/>
  </w:num>
  <w:num w:numId="17">
    <w:abstractNumId w:val="7"/>
  </w:num>
  <w:num w:numId="18">
    <w:abstractNumId w:val="20"/>
  </w:num>
  <w:num w:numId="19">
    <w:abstractNumId w:val="28"/>
  </w:num>
  <w:num w:numId="20">
    <w:abstractNumId w:val="33"/>
  </w:num>
  <w:num w:numId="21">
    <w:abstractNumId w:val="31"/>
  </w:num>
  <w:num w:numId="22">
    <w:abstractNumId w:val="11"/>
  </w:num>
  <w:num w:numId="23">
    <w:abstractNumId w:val="24"/>
  </w:num>
  <w:num w:numId="24">
    <w:abstractNumId w:val="32"/>
  </w:num>
  <w:num w:numId="25">
    <w:abstractNumId w:val="3"/>
  </w:num>
  <w:num w:numId="26">
    <w:abstractNumId w:val="9"/>
  </w:num>
  <w:num w:numId="27">
    <w:abstractNumId w:val="8"/>
  </w:num>
  <w:num w:numId="28">
    <w:abstractNumId w:val="2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5"/>
  </w:num>
  <w:num w:numId="38">
    <w:abstractNumId w:val="2"/>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E2EA2"/>
    <w:rsid w:val="00130DEE"/>
    <w:rsid w:val="00162A08"/>
    <w:rsid w:val="00180090"/>
    <w:rsid w:val="00185A11"/>
    <w:rsid w:val="00191A10"/>
    <w:rsid w:val="001F395B"/>
    <w:rsid w:val="001F78AC"/>
    <w:rsid w:val="00207D2C"/>
    <w:rsid w:val="002129DB"/>
    <w:rsid w:val="0027186D"/>
    <w:rsid w:val="00291D1C"/>
    <w:rsid w:val="00295FA0"/>
    <w:rsid w:val="002D3742"/>
    <w:rsid w:val="002D4221"/>
    <w:rsid w:val="003135DA"/>
    <w:rsid w:val="003221A5"/>
    <w:rsid w:val="003315D4"/>
    <w:rsid w:val="003501D0"/>
    <w:rsid w:val="00353910"/>
    <w:rsid w:val="00366263"/>
    <w:rsid w:val="00395CC3"/>
    <w:rsid w:val="00396E0C"/>
    <w:rsid w:val="003A1BE9"/>
    <w:rsid w:val="003C7DB5"/>
    <w:rsid w:val="003E2408"/>
    <w:rsid w:val="00400F2E"/>
    <w:rsid w:val="00406655"/>
    <w:rsid w:val="00413A8C"/>
    <w:rsid w:val="00430438"/>
    <w:rsid w:val="00457487"/>
    <w:rsid w:val="004667CF"/>
    <w:rsid w:val="004774EF"/>
    <w:rsid w:val="00490CFE"/>
    <w:rsid w:val="004963F5"/>
    <w:rsid w:val="004B62F4"/>
    <w:rsid w:val="004C2306"/>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917D7"/>
    <w:rsid w:val="006A2363"/>
    <w:rsid w:val="006C5D98"/>
    <w:rsid w:val="006D329D"/>
    <w:rsid w:val="006E4641"/>
    <w:rsid w:val="006E5F90"/>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45CD4"/>
    <w:rsid w:val="00862727"/>
    <w:rsid w:val="00866E10"/>
    <w:rsid w:val="00867467"/>
    <w:rsid w:val="008710D5"/>
    <w:rsid w:val="00874134"/>
    <w:rsid w:val="008A5CF4"/>
    <w:rsid w:val="008B22F0"/>
    <w:rsid w:val="008C0649"/>
    <w:rsid w:val="008F75FA"/>
    <w:rsid w:val="00910AFC"/>
    <w:rsid w:val="00942E19"/>
    <w:rsid w:val="00955B9E"/>
    <w:rsid w:val="009661C2"/>
    <w:rsid w:val="00980B98"/>
    <w:rsid w:val="00982886"/>
    <w:rsid w:val="00995152"/>
    <w:rsid w:val="009A0483"/>
    <w:rsid w:val="009A4802"/>
    <w:rsid w:val="009B307D"/>
    <w:rsid w:val="009D3C1F"/>
    <w:rsid w:val="009E4881"/>
    <w:rsid w:val="009F6B4B"/>
    <w:rsid w:val="00A14F15"/>
    <w:rsid w:val="00A21527"/>
    <w:rsid w:val="00A32E40"/>
    <w:rsid w:val="00A37D19"/>
    <w:rsid w:val="00A81BA1"/>
    <w:rsid w:val="00A96728"/>
    <w:rsid w:val="00AA4643"/>
    <w:rsid w:val="00AB565D"/>
    <w:rsid w:val="00AE533F"/>
    <w:rsid w:val="00B53B6F"/>
    <w:rsid w:val="00B77609"/>
    <w:rsid w:val="00B77BBD"/>
    <w:rsid w:val="00B94AB2"/>
    <w:rsid w:val="00BB1D92"/>
    <w:rsid w:val="00BD413C"/>
    <w:rsid w:val="00BE1E12"/>
    <w:rsid w:val="00BF4845"/>
    <w:rsid w:val="00C04587"/>
    <w:rsid w:val="00C2069A"/>
    <w:rsid w:val="00C640D9"/>
    <w:rsid w:val="00C84690"/>
    <w:rsid w:val="00C87C3E"/>
    <w:rsid w:val="00CA5915"/>
    <w:rsid w:val="00CB381F"/>
    <w:rsid w:val="00CE343C"/>
    <w:rsid w:val="00D00FD2"/>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27810"/>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 w:type="paragraph" w:styleId="ListParagraph">
    <w:name w:val="List Paragraph"/>
    <w:basedOn w:val="Normal"/>
    <w:qFormat/>
    <w:rsid w:val="00F27810"/>
    <w:pPr>
      <w:widowControl/>
      <w:ind w:left="720"/>
    </w:pPr>
    <w:rPr>
      <w:rFonts w:ascii="Calibri" w:hAnsi="Calibri"/>
      <w:sz w:val="22"/>
      <w:szCs w:val="22"/>
      <w:lang w:val="en-CA"/>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60568067">
      <w:bodyDiv w:val="1"/>
      <w:marLeft w:val="0"/>
      <w:marRight w:val="0"/>
      <w:marTop w:val="0"/>
      <w:marBottom w:val="0"/>
      <w:divBdr>
        <w:top w:val="none" w:sz="0" w:space="0" w:color="auto"/>
        <w:left w:val="none" w:sz="0" w:space="0" w:color="auto"/>
        <w:bottom w:val="none" w:sz="0" w:space="0" w:color="auto"/>
        <w:right w:val="none" w:sz="0" w:space="0" w:color="auto"/>
      </w:divBdr>
    </w:div>
    <w:div w:id="138037483">
      <w:bodyDiv w:val="1"/>
      <w:marLeft w:val="0"/>
      <w:marRight w:val="0"/>
      <w:marTop w:val="0"/>
      <w:marBottom w:val="0"/>
      <w:divBdr>
        <w:top w:val="none" w:sz="0" w:space="0" w:color="auto"/>
        <w:left w:val="none" w:sz="0" w:space="0" w:color="auto"/>
        <w:bottom w:val="none" w:sz="0" w:space="0" w:color="auto"/>
        <w:right w:val="none" w:sz="0" w:space="0" w:color="auto"/>
      </w:divBdr>
    </w:div>
    <w:div w:id="214246654">
      <w:bodyDiv w:val="1"/>
      <w:marLeft w:val="0"/>
      <w:marRight w:val="0"/>
      <w:marTop w:val="0"/>
      <w:marBottom w:val="0"/>
      <w:divBdr>
        <w:top w:val="none" w:sz="0" w:space="0" w:color="auto"/>
        <w:left w:val="none" w:sz="0" w:space="0" w:color="auto"/>
        <w:bottom w:val="none" w:sz="0" w:space="0" w:color="auto"/>
        <w:right w:val="none" w:sz="0" w:space="0" w:color="auto"/>
      </w:divBdr>
    </w:div>
    <w:div w:id="798300415">
      <w:bodyDiv w:val="1"/>
      <w:marLeft w:val="0"/>
      <w:marRight w:val="0"/>
      <w:marTop w:val="0"/>
      <w:marBottom w:val="0"/>
      <w:divBdr>
        <w:top w:val="none" w:sz="0" w:space="0" w:color="auto"/>
        <w:left w:val="none" w:sz="0" w:space="0" w:color="auto"/>
        <w:bottom w:val="none" w:sz="0" w:space="0" w:color="auto"/>
        <w:right w:val="none" w:sz="0" w:space="0" w:color="auto"/>
      </w:divBdr>
    </w:div>
    <w:div w:id="1011295900">
      <w:bodyDiv w:val="1"/>
      <w:marLeft w:val="0"/>
      <w:marRight w:val="0"/>
      <w:marTop w:val="0"/>
      <w:marBottom w:val="0"/>
      <w:divBdr>
        <w:top w:val="none" w:sz="0" w:space="0" w:color="auto"/>
        <w:left w:val="none" w:sz="0" w:space="0" w:color="auto"/>
        <w:bottom w:val="none" w:sz="0" w:space="0" w:color="auto"/>
        <w:right w:val="none" w:sz="0" w:space="0" w:color="auto"/>
      </w:divBdr>
    </w:div>
    <w:div w:id="1012490522">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615795136">
      <w:bodyDiv w:val="1"/>
      <w:marLeft w:val="0"/>
      <w:marRight w:val="0"/>
      <w:marTop w:val="0"/>
      <w:marBottom w:val="0"/>
      <w:divBdr>
        <w:top w:val="none" w:sz="0" w:space="0" w:color="auto"/>
        <w:left w:val="none" w:sz="0" w:space="0" w:color="auto"/>
        <w:bottom w:val="none" w:sz="0" w:space="0" w:color="auto"/>
        <w:right w:val="none" w:sz="0" w:space="0" w:color="auto"/>
      </w:divBdr>
    </w:div>
    <w:div w:id="1659844063">
      <w:bodyDiv w:val="1"/>
      <w:marLeft w:val="0"/>
      <w:marRight w:val="0"/>
      <w:marTop w:val="0"/>
      <w:marBottom w:val="0"/>
      <w:divBdr>
        <w:top w:val="none" w:sz="0" w:space="0" w:color="auto"/>
        <w:left w:val="none" w:sz="0" w:space="0" w:color="auto"/>
        <w:bottom w:val="none" w:sz="0" w:space="0" w:color="auto"/>
        <w:right w:val="none" w:sz="0" w:space="0" w:color="auto"/>
      </w:divBdr>
    </w:div>
    <w:div w:id="1728257605">
      <w:bodyDiv w:val="1"/>
      <w:marLeft w:val="0"/>
      <w:marRight w:val="0"/>
      <w:marTop w:val="0"/>
      <w:marBottom w:val="0"/>
      <w:divBdr>
        <w:top w:val="none" w:sz="0" w:space="0" w:color="auto"/>
        <w:left w:val="none" w:sz="0" w:space="0" w:color="auto"/>
        <w:bottom w:val="none" w:sz="0" w:space="0" w:color="auto"/>
        <w:right w:val="none" w:sz="0" w:space="0" w:color="auto"/>
      </w:divBdr>
    </w:div>
    <w:div w:id="178326354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 w:id="1860048747">
      <w:bodyDiv w:val="1"/>
      <w:marLeft w:val="0"/>
      <w:marRight w:val="0"/>
      <w:marTop w:val="0"/>
      <w:marBottom w:val="0"/>
      <w:divBdr>
        <w:top w:val="none" w:sz="0" w:space="0" w:color="auto"/>
        <w:left w:val="none" w:sz="0" w:space="0" w:color="auto"/>
        <w:bottom w:val="none" w:sz="0" w:space="0" w:color="auto"/>
        <w:right w:val="none" w:sz="0" w:space="0" w:color="auto"/>
      </w:divBdr>
    </w:div>
    <w:div w:id="198600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13630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Allan Powelson</cp:lastModifiedBy>
  <cp:revision>2</cp:revision>
  <cp:lastPrinted>2007-06-26T23:59:00Z</cp:lastPrinted>
  <dcterms:created xsi:type="dcterms:W3CDTF">2011-11-16T21:13:00Z</dcterms:created>
  <dcterms:modified xsi:type="dcterms:W3CDTF">2011-11-16T21:13:00Z</dcterms:modified>
</cp:coreProperties>
</file>